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CFF" w:rsidRDefault="00E32ED5">
      <w:pPr>
        <w:rPr>
          <w:lang w:val="en-US"/>
        </w:rPr>
      </w:pPr>
      <w:r w:rsidRPr="00E32ED5">
        <w:rPr>
          <w:lang w:val="en-US"/>
        </w:rPr>
        <w:t xml:space="preserve">IOW Metadata for </w:t>
      </w:r>
      <w:r w:rsidR="00204FA1">
        <w:rPr>
          <w:lang w:val="en-US"/>
        </w:rPr>
        <w:t>DOI 10.12754/data-2024-0019</w:t>
      </w:r>
    </w:p>
    <w:p w:rsidR="00E32ED5" w:rsidRDefault="00E32ED5">
      <w:pPr>
        <w:rPr>
          <w:lang w:val="en-US"/>
        </w:rPr>
      </w:pPr>
    </w:p>
    <w:tbl>
      <w:tblPr>
        <w:tblStyle w:val="Tabellengitternetz"/>
        <w:tblW w:w="9209" w:type="dxa"/>
        <w:tblLook w:val="0420"/>
      </w:tblPr>
      <w:tblGrid>
        <w:gridCol w:w="2263"/>
        <w:gridCol w:w="6946"/>
      </w:tblGrid>
      <w:tr w:rsidR="00834F2C" w:rsidRPr="00204FA1" w:rsidTr="000043DE">
        <w:trPr>
          <w:trHeight w:val="584"/>
        </w:trPr>
        <w:tc>
          <w:tcPr>
            <w:tcW w:w="2263" w:type="dxa"/>
            <w:hideMark/>
          </w:tcPr>
          <w:p w:rsidR="00834F2C" w:rsidRPr="00834F2C" w:rsidRDefault="00834F2C" w:rsidP="00834F2C">
            <w:pPr>
              <w:spacing w:after="160" w:line="259" w:lineRule="auto"/>
            </w:pPr>
            <w:proofErr w:type="spellStart"/>
            <w:r w:rsidRPr="00834F2C">
              <w:rPr>
                <w:b/>
                <w:bCs/>
              </w:rPr>
              <w:t>purpose</w:t>
            </w:r>
            <w:proofErr w:type="spellEnd"/>
            <w:r w:rsidRPr="00834F2C">
              <w:rPr>
                <w:b/>
                <w:bCs/>
              </w:rPr>
              <w:t xml:space="preserve"> *</w:t>
            </w:r>
          </w:p>
        </w:tc>
        <w:tc>
          <w:tcPr>
            <w:tcW w:w="6946" w:type="dxa"/>
            <w:hideMark/>
          </w:tcPr>
          <w:p w:rsidR="00834F2C" w:rsidRPr="00AD7448" w:rsidRDefault="00AD7448" w:rsidP="00AD7448">
            <w:pPr>
              <w:spacing w:after="160" w:line="259" w:lineRule="auto"/>
              <w:rPr>
                <w:lang w:val="en-US"/>
              </w:rPr>
            </w:pPr>
            <w:r w:rsidRPr="00AD7448">
              <w:rPr>
                <w:lang w:val="en-US"/>
              </w:rPr>
              <w:t>The study determined heterotrophic N</w:t>
            </w:r>
            <w:r w:rsidRPr="00AD7448">
              <w:rPr>
                <w:vertAlign w:val="subscript"/>
                <w:lang w:val="en-US"/>
              </w:rPr>
              <w:t>2</w:t>
            </w:r>
            <w:r w:rsidRPr="00AD7448">
              <w:rPr>
                <w:lang w:val="en-US"/>
              </w:rPr>
              <w:t xml:space="preserve"> </w:t>
            </w:r>
            <w:r>
              <w:rPr>
                <w:lang w:val="en-US"/>
              </w:rPr>
              <w:t>fixation mediated by s</w:t>
            </w:r>
            <w:r w:rsidRPr="00AD7448">
              <w:rPr>
                <w:lang w:val="en-US"/>
              </w:rPr>
              <w:t>ulfate reducing bacteria or other microbes and microbial community composition in surface sediments from the coastline of the southern Baltic Sea.</w:t>
            </w:r>
          </w:p>
        </w:tc>
      </w:tr>
      <w:tr w:rsidR="00834F2C" w:rsidRPr="00204FA1" w:rsidTr="000043DE">
        <w:trPr>
          <w:trHeight w:val="584"/>
        </w:trPr>
        <w:tc>
          <w:tcPr>
            <w:tcW w:w="2263" w:type="dxa"/>
            <w:hideMark/>
          </w:tcPr>
          <w:p w:rsidR="00834F2C" w:rsidRPr="00834F2C" w:rsidRDefault="00834F2C" w:rsidP="00834F2C">
            <w:pPr>
              <w:spacing w:after="160" w:line="259" w:lineRule="auto"/>
            </w:pPr>
            <w:proofErr w:type="spellStart"/>
            <w:r w:rsidRPr="00834F2C">
              <w:t>abstract</w:t>
            </w:r>
            <w:proofErr w:type="spellEnd"/>
            <w:r w:rsidRPr="00834F2C">
              <w:t xml:space="preserve"> *</w:t>
            </w:r>
          </w:p>
        </w:tc>
        <w:tc>
          <w:tcPr>
            <w:tcW w:w="6946" w:type="dxa"/>
            <w:hideMark/>
          </w:tcPr>
          <w:p w:rsidR="00834F2C" w:rsidRPr="000043DE" w:rsidRDefault="000043DE" w:rsidP="000043DE">
            <w:pPr>
              <w:pStyle w:val="Default"/>
              <w:rPr>
                <w:rFonts w:asciiTheme="minorHAnsi" w:hAnsiTheme="minorHAnsi" w:cstheme="minorHAnsi"/>
                <w:sz w:val="22"/>
                <w:szCs w:val="22"/>
                <w:lang w:val="en-US"/>
              </w:rPr>
            </w:pPr>
            <w:r w:rsidRPr="000043DE">
              <w:rPr>
                <w:rFonts w:asciiTheme="minorHAnsi" w:hAnsiTheme="minorHAnsi" w:cstheme="minorHAnsi"/>
                <w:sz w:val="22"/>
                <w:szCs w:val="22"/>
                <w:lang w:val="en-US"/>
              </w:rPr>
              <w:t xml:space="preserve">Nitrogen (N2) fixation by heterotrophic non-cyanobacterial diazotrophs is common in marine deep-sea sediments. However, in shallow coastal areas, where resuspension of sediments is extensive, the magnitude of sediment-associated N2 fixation during resuspension is unknown. We examined nitrogen fixation in dark slurry incubations with sediments (0–5 cm and 0–10 cm depths) under simulated resuspension from five shallow stations (water depth </w:t>
            </w:r>
            <w:r w:rsidRPr="000043DE">
              <w:rPr>
                <w:rFonts w:asciiTheme="minorHAnsi" w:hAnsiTheme="minorHAnsi" w:cstheme="minorHAnsi"/>
                <w:i/>
                <w:iCs/>
                <w:sz w:val="22"/>
                <w:szCs w:val="22"/>
                <w:lang w:val="en-US"/>
              </w:rPr>
              <w:t>&lt;</w:t>
            </w:r>
            <w:r w:rsidRPr="000043DE">
              <w:rPr>
                <w:rFonts w:asciiTheme="minorHAnsi" w:hAnsiTheme="minorHAnsi" w:cstheme="minorHAnsi"/>
                <w:sz w:val="22"/>
                <w:szCs w:val="22"/>
                <w:lang w:val="en-US"/>
              </w:rPr>
              <w:t xml:space="preserve">1 m) and an anoxic site in the Bay of Gdansk (109 m) in the Baltic Sea. Abiotic variables and the composition of nitrogen fixing organisms (diazotrophs) were </w:t>
            </w:r>
            <w:bookmarkStart w:id="0" w:name="_GoBack"/>
            <w:bookmarkEnd w:id="0"/>
            <w:r w:rsidRPr="000043DE">
              <w:rPr>
                <w:rFonts w:asciiTheme="minorHAnsi" w:hAnsiTheme="minorHAnsi" w:cstheme="minorHAnsi"/>
                <w:sz w:val="22"/>
                <w:szCs w:val="22"/>
                <w:lang w:val="en-US"/>
              </w:rPr>
              <w:t xml:space="preserve">measured at the study sites. To estimate the contribution of nitrogen fixing sulfate reducing bacteria to total nitrogen fixation, parallel incubations with sodium </w:t>
            </w:r>
            <w:proofErr w:type="spellStart"/>
            <w:r w:rsidRPr="000043DE">
              <w:rPr>
                <w:rFonts w:asciiTheme="minorHAnsi" w:hAnsiTheme="minorHAnsi" w:cstheme="minorHAnsi"/>
                <w:sz w:val="22"/>
                <w:szCs w:val="22"/>
                <w:lang w:val="en-US"/>
              </w:rPr>
              <w:t>molybdate</w:t>
            </w:r>
            <w:proofErr w:type="spellEnd"/>
            <w:r w:rsidRPr="000043DE">
              <w:rPr>
                <w:rFonts w:asciiTheme="minorHAnsi" w:hAnsiTheme="minorHAnsi" w:cstheme="minorHAnsi"/>
                <w:sz w:val="22"/>
                <w:szCs w:val="22"/>
                <w:lang w:val="en-US"/>
              </w:rPr>
              <w:t xml:space="preserve"> as inhibitor were performed. Our data show low but variable nitrogen fixation rates (</w:t>
            </w:r>
            <w:proofErr w:type="spellStart"/>
            <w:r w:rsidRPr="000043DE">
              <w:rPr>
                <w:rFonts w:asciiTheme="minorHAnsi" w:hAnsiTheme="minorHAnsi" w:cstheme="minorHAnsi"/>
                <w:sz w:val="22"/>
                <w:szCs w:val="22"/>
                <w:lang w:val="en-US"/>
              </w:rPr>
              <w:t>n.d</w:t>
            </w:r>
            <w:proofErr w:type="spellEnd"/>
            <w:r w:rsidRPr="000043DE">
              <w:rPr>
                <w:rFonts w:asciiTheme="minorHAnsi" w:hAnsiTheme="minorHAnsi" w:cstheme="minorHAnsi"/>
                <w:sz w:val="22"/>
                <w:szCs w:val="22"/>
                <w:lang w:val="en-US"/>
              </w:rPr>
              <w:t xml:space="preserve">. - 23.7 </w:t>
            </w:r>
            <w:proofErr w:type="spellStart"/>
            <w:r w:rsidRPr="000043DE">
              <w:rPr>
                <w:rFonts w:asciiTheme="minorHAnsi" w:hAnsiTheme="minorHAnsi" w:cstheme="minorHAnsi"/>
                <w:sz w:val="22"/>
                <w:szCs w:val="22"/>
                <w:lang w:val="en-US"/>
              </w:rPr>
              <w:t>nmol</w:t>
            </w:r>
            <w:proofErr w:type="spellEnd"/>
            <w:r w:rsidRPr="000043DE">
              <w:rPr>
                <w:rFonts w:asciiTheme="minorHAnsi" w:hAnsiTheme="minorHAnsi" w:cstheme="minorHAnsi"/>
                <w:sz w:val="22"/>
                <w:szCs w:val="22"/>
                <w:lang w:val="en-US"/>
              </w:rPr>
              <w:t xml:space="preserve"> N g</w:t>
            </w:r>
            <w:r w:rsidRPr="000043DE">
              <w:rPr>
                <w:rFonts w:ascii="Calibri" w:eastAsia="Calibri" w:hAnsi="Calibri" w:cs="Calibri"/>
                <w:sz w:val="22"/>
                <w:szCs w:val="22"/>
                <w:vertAlign w:val="superscript"/>
                <w:lang w:val="en-US"/>
              </w:rPr>
              <w:t>-</w:t>
            </w:r>
            <w:r w:rsidRPr="000043DE">
              <w:rPr>
                <w:rFonts w:asciiTheme="minorHAnsi" w:hAnsiTheme="minorHAnsi" w:cstheme="minorHAnsi"/>
                <w:sz w:val="22"/>
                <w:szCs w:val="22"/>
                <w:vertAlign w:val="superscript"/>
                <w:lang w:val="en-US"/>
              </w:rPr>
              <w:t>1</w:t>
            </w:r>
            <w:r w:rsidRPr="000043DE">
              <w:rPr>
                <w:rFonts w:asciiTheme="minorHAnsi" w:hAnsiTheme="minorHAnsi" w:cstheme="minorHAnsi"/>
                <w:sz w:val="22"/>
                <w:szCs w:val="22"/>
                <w:lang w:val="en-US"/>
              </w:rPr>
              <w:t xml:space="preserve"> d</w:t>
            </w:r>
            <w:r w:rsidRPr="000043DE">
              <w:rPr>
                <w:rFonts w:ascii="Calibri" w:eastAsia="Calibri" w:hAnsi="Calibri" w:cs="Calibri"/>
                <w:sz w:val="22"/>
                <w:szCs w:val="22"/>
                <w:vertAlign w:val="superscript"/>
                <w:lang w:val="en-US"/>
              </w:rPr>
              <w:t>-</w:t>
            </w:r>
            <w:r w:rsidRPr="000043DE">
              <w:rPr>
                <w:rFonts w:asciiTheme="minorHAnsi" w:hAnsiTheme="minorHAnsi" w:cstheme="minorHAnsi"/>
                <w:sz w:val="22"/>
                <w:szCs w:val="22"/>
                <w:vertAlign w:val="superscript"/>
                <w:lang w:val="en-US"/>
              </w:rPr>
              <w:t>1</w:t>
            </w:r>
            <w:r w:rsidRPr="000043DE">
              <w:rPr>
                <w:rFonts w:asciiTheme="minorHAnsi" w:hAnsiTheme="minorHAnsi" w:cstheme="minorHAnsi"/>
                <w:sz w:val="22"/>
                <w:szCs w:val="22"/>
                <w:lang w:val="en-US"/>
              </w:rPr>
              <w:t xml:space="preserve">), promoted in small-grained sediments associated with increased organic carbon content and high nutrient concentrations in pore waters. Highest nitrogen fixation at the shallow sites was encountered in the upper 0–5 cm of the sediments while rates were negligible below. Sulfate reducing bacteria (e.g. </w:t>
            </w:r>
            <w:proofErr w:type="spellStart"/>
            <w:r w:rsidRPr="000043DE">
              <w:rPr>
                <w:rFonts w:asciiTheme="minorHAnsi" w:hAnsiTheme="minorHAnsi" w:cstheme="minorHAnsi"/>
                <w:i/>
                <w:iCs/>
                <w:sz w:val="22"/>
                <w:szCs w:val="22"/>
                <w:lang w:val="en-US"/>
              </w:rPr>
              <w:t>Desulfobacterales</w:t>
            </w:r>
            <w:proofErr w:type="spellEnd"/>
            <w:r w:rsidRPr="000043DE">
              <w:rPr>
                <w:rFonts w:asciiTheme="minorHAnsi" w:hAnsiTheme="minorHAnsi" w:cstheme="minorHAnsi"/>
                <w:i/>
                <w:iCs/>
                <w:sz w:val="22"/>
                <w:szCs w:val="22"/>
                <w:lang w:val="en-US"/>
              </w:rPr>
              <w:t xml:space="preserve"> </w:t>
            </w:r>
            <w:r w:rsidRPr="000043DE">
              <w:rPr>
                <w:rFonts w:asciiTheme="minorHAnsi" w:hAnsiTheme="minorHAnsi" w:cstheme="minorHAnsi"/>
                <w:sz w:val="22"/>
                <w:szCs w:val="22"/>
                <w:lang w:val="en-US"/>
              </w:rPr>
              <w:t xml:space="preserve">and </w:t>
            </w:r>
            <w:proofErr w:type="spellStart"/>
            <w:r w:rsidRPr="000043DE">
              <w:rPr>
                <w:rFonts w:asciiTheme="minorHAnsi" w:hAnsiTheme="minorHAnsi" w:cstheme="minorHAnsi"/>
                <w:i/>
                <w:iCs/>
                <w:sz w:val="22"/>
                <w:szCs w:val="22"/>
                <w:lang w:val="en-US"/>
              </w:rPr>
              <w:t>Desulfovibrionales</w:t>
            </w:r>
            <w:proofErr w:type="spellEnd"/>
            <w:r w:rsidRPr="000043DE">
              <w:rPr>
                <w:rFonts w:asciiTheme="minorHAnsi" w:hAnsiTheme="minorHAnsi" w:cstheme="minorHAnsi"/>
                <w:sz w:val="22"/>
                <w:szCs w:val="22"/>
                <w:lang w:val="en-US"/>
              </w:rPr>
              <w:t>) were responsible for most of the heterotrophic nitrogen fixation and appear as key players for pelagic N2 fixation during resuspension. Our study reveals an important sediment – water coupling, which may be accentuated by the increased storms and resuspension events predicted for the Baltic Sea region.</w:t>
            </w:r>
          </w:p>
        </w:tc>
      </w:tr>
      <w:tr w:rsidR="00834F2C" w:rsidRPr="00204FA1" w:rsidTr="000043DE">
        <w:trPr>
          <w:trHeight w:val="584"/>
        </w:trPr>
        <w:tc>
          <w:tcPr>
            <w:tcW w:w="2263" w:type="dxa"/>
            <w:hideMark/>
          </w:tcPr>
          <w:p w:rsidR="00834F2C" w:rsidRPr="00834F2C" w:rsidRDefault="000043DE" w:rsidP="000043DE">
            <w:pPr>
              <w:spacing w:after="160" w:line="259" w:lineRule="auto"/>
            </w:pPr>
            <w:r w:rsidRPr="00834F2C">
              <w:t>P</w:t>
            </w:r>
            <w:r w:rsidR="00834F2C" w:rsidRPr="00834F2C">
              <w:t>oint</w:t>
            </w:r>
            <w:r>
              <w:t xml:space="preserve"> </w:t>
            </w:r>
            <w:proofErr w:type="spellStart"/>
            <w:r>
              <w:t>o</w:t>
            </w:r>
            <w:r w:rsidR="00834F2C" w:rsidRPr="00834F2C">
              <w:t>f</w:t>
            </w:r>
            <w:proofErr w:type="spellEnd"/>
            <w:r>
              <w:t xml:space="preserve"> </w:t>
            </w:r>
            <w:proofErr w:type="spellStart"/>
            <w:r>
              <w:t>c</w:t>
            </w:r>
            <w:r w:rsidR="00834F2C" w:rsidRPr="00834F2C">
              <w:t>ontact</w:t>
            </w:r>
            <w:proofErr w:type="spellEnd"/>
            <w:r w:rsidR="00834F2C" w:rsidRPr="00834F2C">
              <w:t xml:space="preserve"> *</w:t>
            </w:r>
          </w:p>
        </w:tc>
        <w:tc>
          <w:tcPr>
            <w:tcW w:w="6946" w:type="dxa"/>
            <w:hideMark/>
          </w:tcPr>
          <w:p w:rsidR="000043DE" w:rsidRDefault="00834F2C" w:rsidP="00AD7448">
            <w:pPr>
              <w:rPr>
                <w:lang w:val="en-US"/>
              </w:rPr>
            </w:pPr>
            <w:r w:rsidRPr="000043DE">
              <w:rPr>
                <w:lang w:val="en-US"/>
              </w:rPr>
              <w:t>contact for this metadata</w:t>
            </w:r>
            <w:r w:rsidR="000043DE" w:rsidRPr="000043DE">
              <w:rPr>
                <w:lang w:val="en-US"/>
              </w:rPr>
              <w:t>: M</w:t>
            </w:r>
            <w:r w:rsidR="000043DE">
              <w:rPr>
                <w:lang w:val="en-US"/>
              </w:rPr>
              <w:t>aren Voss</w:t>
            </w:r>
          </w:p>
          <w:p w:rsidR="000043DE" w:rsidRPr="000043DE" w:rsidRDefault="000043DE" w:rsidP="00AD7448">
            <w:pPr>
              <w:rPr>
                <w:lang w:val="en-US"/>
              </w:rPr>
            </w:pPr>
            <w:r>
              <w:rPr>
                <w:lang w:val="en-US"/>
              </w:rPr>
              <w:t>maren.voss@io-warnemuende.de</w:t>
            </w:r>
          </w:p>
        </w:tc>
      </w:tr>
      <w:tr w:rsidR="00834F2C" w:rsidRPr="00834F2C" w:rsidTr="000043DE">
        <w:trPr>
          <w:trHeight w:val="584"/>
        </w:trPr>
        <w:tc>
          <w:tcPr>
            <w:tcW w:w="2263" w:type="dxa"/>
            <w:hideMark/>
          </w:tcPr>
          <w:p w:rsidR="00834F2C" w:rsidRPr="00834F2C" w:rsidRDefault="00834F2C" w:rsidP="00834F2C">
            <w:pPr>
              <w:spacing w:after="160" w:line="259" w:lineRule="auto"/>
            </w:pPr>
            <w:proofErr w:type="spellStart"/>
            <w:r w:rsidRPr="00834F2C">
              <w:t>geographic</w:t>
            </w:r>
            <w:proofErr w:type="spellEnd"/>
            <w:r w:rsidRPr="00834F2C">
              <w:t xml:space="preserve"> </w:t>
            </w:r>
            <w:proofErr w:type="spellStart"/>
            <w:r w:rsidRPr="00834F2C">
              <w:t>Extent</w:t>
            </w:r>
            <w:proofErr w:type="spellEnd"/>
            <w:r w:rsidRPr="00834F2C">
              <w:t xml:space="preserve"> *</w:t>
            </w:r>
          </w:p>
        </w:tc>
        <w:tc>
          <w:tcPr>
            <w:tcW w:w="6946" w:type="dxa"/>
            <w:hideMark/>
          </w:tcPr>
          <w:p w:rsidR="00834F2C" w:rsidRDefault="00834F2C" w:rsidP="00AD7448">
            <w:pPr>
              <w:rPr>
                <w:lang w:val="en-US"/>
              </w:rPr>
            </w:pPr>
            <w:r w:rsidRPr="00834F2C">
              <w:rPr>
                <w:lang w:val="en-US"/>
              </w:rPr>
              <w:t>e.g. a bounding box in decimal degrees</w:t>
            </w:r>
          </w:p>
          <w:p w:rsidR="00332A1B" w:rsidRDefault="00AD7448" w:rsidP="00AD7448">
            <w:pPr>
              <w:rPr>
                <w:lang w:val="en-US"/>
              </w:rPr>
            </w:pPr>
            <w:r>
              <w:rPr>
                <w:lang w:val="en-US"/>
              </w:rPr>
              <w:t>N: 54.8648</w:t>
            </w:r>
            <w:r w:rsidR="00332A1B">
              <w:rPr>
                <w:lang w:val="en-US"/>
              </w:rPr>
              <w:t>, S:</w:t>
            </w:r>
            <w:r>
              <w:rPr>
                <w:lang w:val="en-US"/>
              </w:rPr>
              <w:t xml:space="preserve"> 54.02349</w:t>
            </w:r>
          </w:p>
          <w:p w:rsidR="00332A1B" w:rsidRPr="00834F2C" w:rsidRDefault="00332A1B" w:rsidP="00AD7448">
            <w:pPr>
              <w:rPr>
                <w:lang w:val="en-US"/>
              </w:rPr>
            </w:pPr>
            <w:r>
              <w:rPr>
                <w:lang w:val="en-US"/>
              </w:rPr>
              <w:t>W: 11.48224, E:</w:t>
            </w:r>
            <w:r w:rsidR="00AD7448">
              <w:rPr>
                <w:lang w:val="en-US"/>
              </w:rPr>
              <w:t xml:space="preserve"> 19.28339</w:t>
            </w:r>
          </w:p>
        </w:tc>
      </w:tr>
      <w:tr w:rsidR="00834F2C" w:rsidRPr="00834F2C" w:rsidTr="000043DE">
        <w:trPr>
          <w:trHeight w:val="584"/>
        </w:trPr>
        <w:tc>
          <w:tcPr>
            <w:tcW w:w="2263" w:type="dxa"/>
            <w:hideMark/>
          </w:tcPr>
          <w:p w:rsidR="00834F2C" w:rsidRPr="00834F2C" w:rsidRDefault="00834F2C" w:rsidP="00834F2C">
            <w:pPr>
              <w:spacing w:after="160" w:line="259" w:lineRule="auto"/>
            </w:pPr>
            <w:r w:rsidRPr="00834F2C">
              <w:t xml:space="preserve">temporal </w:t>
            </w:r>
            <w:proofErr w:type="spellStart"/>
            <w:r w:rsidRPr="00834F2C">
              <w:t>Extent</w:t>
            </w:r>
            <w:proofErr w:type="spellEnd"/>
          </w:p>
        </w:tc>
        <w:tc>
          <w:tcPr>
            <w:tcW w:w="6946" w:type="dxa"/>
            <w:hideMark/>
          </w:tcPr>
          <w:p w:rsidR="00834F2C" w:rsidRPr="00834F2C" w:rsidRDefault="00AD7448" w:rsidP="00AD7448">
            <w:pPr>
              <w:rPr>
                <w:lang w:val="en-US"/>
              </w:rPr>
            </w:pPr>
            <w:r>
              <w:rPr>
                <w:lang w:val="en-US"/>
              </w:rPr>
              <w:t>May – Oct 2019</w:t>
            </w:r>
          </w:p>
        </w:tc>
      </w:tr>
      <w:tr w:rsidR="00834F2C" w:rsidRPr="00204FA1" w:rsidTr="000043DE">
        <w:trPr>
          <w:trHeight w:val="584"/>
        </w:trPr>
        <w:tc>
          <w:tcPr>
            <w:tcW w:w="2263" w:type="dxa"/>
            <w:hideMark/>
          </w:tcPr>
          <w:p w:rsidR="00834F2C" w:rsidRPr="00834F2C" w:rsidRDefault="00834F2C" w:rsidP="00834F2C">
            <w:pPr>
              <w:spacing w:after="160" w:line="259" w:lineRule="auto"/>
            </w:pPr>
            <w:proofErr w:type="spellStart"/>
            <w:r w:rsidRPr="00834F2C">
              <w:t>keywords</w:t>
            </w:r>
            <w:proofErr w:type="spellEnd"/>
            <w:r w:rsidRPr="00834F2C">
              <w:t xml:space="preserve"> *</w:t>
            </w:r>
          </w:p>
        </w:tc>
        <w:tc>
          <w:tcPr>
            <w:tcW w:w="6946" w:type="dxa"/>
            <w:hideMark/>
          </w:tcPr>
          <w:p w:rsidR="00834F2C" w:rsidRPr="00AD7448" w:rsidRDefault="00AD7448" w:rsidP="00AD7448">
            <w:pPr>
              <w:rPr>
                <w:lang w:val="en-US"/>
              </w:rPr>
            </w:pPr>
            <w:r w:rsidRPr="00AD7448">
              <w:rPr>
                <w:lang w:val="en-US"/>
              </w:rPr>
              <w:t xml:space="preserve">Heterotrophic nitrogen fixation rates in sediments, sulfate reducing bacteria, </w:t>
            </w:r>
          </w:p>
        </w:tc>
      </w:tr>
      <w:tr w:rsidR="00834F2C" w:rsidRPr="00834F2C" w:rsidTr="000043DE">
        <w:trPr>
          <w:trHeight w:val="584"/>
        </w:trPr>
        <w:tc>
          <w:tcPr>
            <w:tcW w:w="2263" w:type="dxa"/>
            <w:hideMark/>
          </w:tcPr>
          <w:p w:rsidR="00834F2C" w:rsidRPr="00834F2C" w:rsidRDefault="00834F2C" w:rsidP="00834F2C">
            <w:pPr>
              <w:spacing w:after="160" w:line="259" w:lineRule="auto"/>
            </w:pPr>
            <w:proofErr w:type="spellStart"/>
            <w:r w:rsidRPr="00834F2C">
              <w:t>status</w:t>
            </w:r>
            <w:proofErr w:type="spellEnd"/>
          </w:p>
        </w:tc>
        <w:tc>
          <w:tcPr>
            <w:tcW w:w="6946" w:type="dxa"/>
            <w:hideMark/>
          </w:tcPr>
          <w:p w:rsidR="00834F2C" w:rsidRPr="00834F2C" w:rsidRDefault="00AD7448" w:rsidP="00AD7448">
            <w:proofErr w:type="spellStart"/>
            <w:r>
              <w:t>Published</w:t>
            </w:r>
            <w:proofErr w:type="spellEnd"/>
            <w:r>
              <w:t xml:space="preserve"> </w:t>
            </w:r>
            <w:proofErr w:type="spellStart"/>
            <w:r>
              <w:t>paper</w:t>
            </w:r>
            <w:proofErr w:type="spellEnd"/>
          </w:p>
        </w:tc>
      </w:tr>
      <w:tr w:rsidR="00834F2C" w:rsidRPr="00834F2C" w:rsidTr="000043DE">
        <w:trPr>
          <w:trHeight w:val="584"/>
        </w:trPr>
        <w:tc>
          <w:tcPr>
            <w:tcW w:w="2263" w:type="dxa"/>
            <w:hideMark/>
          </w:tcPr>
          <w:p w:rsidR="00834F2C" w:rsidRPr="00834F2C" w:rsidRDefault="00AD7448" w:rsidP="00834F2C">
            <w:pPr>
              <w:spacing w:after="160" w:line="259" w:lineRule="auto"/>
            </w:pPr>
            <w:r w:rsidRPr="00834F2C">
              <w:t>B</w:t>
            </w:r>
            <w:r w:rsidR="00834F2C" w:rsidRPr="00834F2C">
              <w:t>rowse</w:t>
            </w:r>
            <w:r>
              <w:t xml:space="preserve"> </w:t>
            </w:r>
            <w:proofErr w:type="spellStart"/>
            <w:r w:rsidR="00834F2C" w:rsidRPr="00834F2C">
              <w:t>Graphic</w:t>
            </w:r>
            <w:proofErr w:type="spellEnd"/>
          </w:p>
        </w:tc>
        <w:tc>
          <w:tcPr>
            <w:tcW w:w="6946" w:type="dxa"/>
            <w:hideMark/>
          </w:tcPr>
          <w:p w:rsidR="00834F2C" w:rsidRDefault="00834F2C" w:rsidP="00834F2C">
            <w:pPr>
              <w:spacing w:after="160" w:line="259" w:lineRule="auto"/>
              <w:rPr>
                <w:lang w:val="en-US"/>
              </w:rPr>
            </w:pPr>
            <w:r w:rsidRPr="00834F2C">
              <w:rPr>
                <w:lang w:val="en-US"/>
              </w:rPr>
              <w:t>a thumbnail image representing the dataset</w:t>
            </w:r>
          </w:p>
          <w:p w:rsidR="00AD7448" w:rsidRPr="00834F2C" w:rsidRDefault="00AD7448" w:rsidP="00834F2C">
            <w:pPr>
              <w:spacing w:after="160" w:line="259" w:lineRule="auto"/>
              <w:rPr>
                <w:lang w:val="en-US"/>
              </w:rPr>
            </w:pPr>
            <w:r w:rsidRPr="00AD7448">
              <w:rPr>
                <w:noProof/>
                <w:lang w:eastAsia="de-DE"/>
              </w:rPr>
              <w:drawing>
                <wp:inline distT="0" distB="0" distL="0" distR="0">
                  <wp:extent cx="1499616" cy="89818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b="48875"/>
                          <a:stretch/>
                        </pic:blipFill>
                        <pic:spPr bwMode="auto">
                          <a:xfrm>
                            <a:off x="0" y="0"/>
                            <a:ext cx="1509897" cy="90433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834F2C" w:rsidRPr="00AD7448" w:rsidTr="000043DE">
        <w:trPr>
          <w:trHeight w:val="584"/>
        </w:trPr>
        <w:tc>
          <w:tcPr>
            <w:tcW w:w="2263" w:type="dxa"/>
            <w:hideMark/>
          </w:tcPr>
          <w:p w:rsidR="00834F2C" w:rsidRPr="00AD7448" w:rsidRDefault="00834F2C" w:rsidP="00834F2C">
            <w:pPr>
              <w:spacing w:after="160" w:line="259" w:lineRule="auto"/>
            </w:pPr>
            <w:r w:rsidRPr="00AD7448">
              <w:t>Downloads &amp; Links</w:t>
            </w:r>
          </w:p>
        </w:tc>
        <w:tc>
          <w:tcPr>
            <w:tcW w:w="6946" w:type="dxa"/>
            <w:hideMark/>
          </w:tcPr>
          <w:p w:rsidR="00834F2C" w:rsidRPr="00AD7448" w:rsidRDefault="00AD7448" w:rsidP="00AD7448">
            <w:r w:rsidRPr="00AD7448">
              <w:t>https://doi.org/10.1016/j.ecss.2022.108165</w:t>
            </w:r>
          </w:p>
        </w:tc>
      </w:tr>
    </w:tbl>
    <w:p w:rsidR="00E32ED5" w:rsidRPr="00AD7448" w:rsidRDefault="00E32ED5"/>
    <w:sectPr w:rsidR="00E32ED5" w:rsidRPr="00AD7448" w:rsidSect="008028A1">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haris SIL">
    <w:altName w:val="Charis SI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E32ED5"/>
    <w:rsid w:val="000043DE"/>
    <w:rsid w:val="000D0CFF"/>
    <w:rsid w:val="00204FA1"/>
    <w:rsid w:val="00332A1B"/>
    <w:rsid w:val="008028A1"/>
    <w:rsid w:val="00834F2C"/>
    <w:rsid w:val="009A2C28"/>
    <w:rsid w:val="009E6ABD"/>
    <w:rsid w:val="00AD7448"/>
    <w:rsid w:val="00E32ED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028A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39"/>
    <w:rsid w:val="00834F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043DE"/>
    <w:pPr>
      <w:autoSpaceDE w:val="0"/>
      <w:autoSpaceDN w:val="0"/>
      <w:adjustRightInd w:val="0"/>
      <w:spacing w:after="0" w:line="240" w:lineRule="auto"/>
    </w:pPr>
    <w:rPr>
      <w:rFonts w:ascii="Charis SIL" w:hAnsi="Charis SIL" w:cs="Charis SIL"/>
      <w:color w:val="000000"/>
      <w:sz w:val="24"/>
      <w:szCs w:val="24"/>
    </w:rPr>
  </w:style>
  <w:style w:type="paragraph" w:styleId="Sprechblasentext">
    <w:name w:val="Balloon Text"/>
    <w:basedOn w:val="Standard"/>
    <w:link w:val="SprechblasentextZchn"/>
    <w:uiPriority w:val="99"/>
    <w:semiHidden/>
    <w:unhideWhenUsed/>
    <w:rsid w:val="00204FA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4F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312</Words>
  <Characters>1968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Maren Voss</dc:creator>
  <cp:keywords/>
  <dc:description/>
  <cp:lastModifiedBy>diehr</cp:lastModifiedBy>
  <cp:revision>3</cp:revision>
  <dcterms:created xsi:type="dcterms:W3CDTF">2024-10-07T12:31:00Z</dcterms:created>
  <dcterms:modified xsi:type="dcterms:W3CDTF">2024-10-30T17:04:00Z</dcterms:modified>
</cp:coreProperties>
</file>